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休闲倒水解谜关卡与数值设计分析</w:t>
      </w:r>
    </w:p>
    <w:p>
      <w:r>
        <w:t>丁华峰  独立制作游戏 Demo  作品集策划拆解</w:t>
      </w:r>
    </w:p>
    <w:p>
      <w:pPr/>
      <w:r>
        <w:t>这是一款以颜色分类和空间调度为核心的休闲解谜游戏，由我独立制作。玩家选中瓶子并向其他瓶子倒水，通过整理液体颜色推进关卡。这份分析说明玩法如何建立、关卡如何增加决策压力，以及哪些数值值得继续验证。</w:t>
      </w:r>
    </w:p>
    <w:p>
      <w:pPr>
        <w:pStyle w:val="Heading2"/>
      </w:pPr>
      <w:r>
        <w:t>项目要点</w:t>
      </w:r>
    </w:p>
    <w:p>
      <w:pPr/>
      <w:r>
        <w:t>基本操作只需要选择起点和终点，主要思考发生在倒水之前：目标瓶能否接收、空位是否足够、这一步会释放还是占用缓冲空间。前期教学突出一次有效操作，后续通过更多瓶子、颜色排列和特殊配置形成变化。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07804" cy="2560320"/>
            <wp:docPr id="1" name="Picture 1" descr="第一关实机画面  点选瓶子的操作教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07804" cy="2560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第一关实机画面  点选瓶子的操作教学</w:t>
      </w:r>
    </w:p>
    <w:p>
      <w:pPr/>
      <w:r>
        <w:t>Android 试玩包版本为 1.0.0。关卡统计覆盖包内 RED1 分支的 120 关配置；实机观察覆盖初始教学界面。配置规模、机制分析与玩家实测表现采用不同口径，不把填充率直接等同于通关难度。</w:t>
      </w:r>
    </w:p>
    <w:p>
      <w:pPr>
        <w:pStyle w:val="Heading1"/>
        <w:pageBreakBefore/>
      </w:pPr>
      <w:r>
        <w:t>核心规则与玩家决策</w:t>
      </w:r>
    </w:p>
    <w:p>
      <w:pPr>
        <w:pStyle w:val="Heading2"/>
      </w:pPr>
      <w:r>
        <w:t>一次操作的完整循环</w:t>
      </w:r>
    </w:p>
    <w:p>
      <w:pPr/>
      <w:r>
        <w:t>观察顶部颜色与剩余空间 → 选择来源瓶 → 选择接收瓶 → 检查是否允许转移 → 播放倒水反馈 → 重新判断局面。每次操作改变后续可选动作，玩家需要在立即归类与保留周转空间之间做取舍。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4176"/>
        <w:gridCol w:w="4032"/>
      </w:tblGrid>
      <w:tr>
        <w:trPr>
          <w:tblHeader/>
        </w:trPr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7EDF0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/>
                <w:sz w:val="18"/>
              </w:rPr>
              <w:t>规则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7EDF0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/>
                <w:sz w:val="18"/>
              </w:rPr>
              <w:t>已确认的实现逻辑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7EDF0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/>
                <w:sz w:val="18"/>
              </w:rPr>
              <w:t>设计含义</w:t>
            </w:r>
          </w:p>
        </w:tc>
      </w:tr>
      <w:tr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容量限制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满瓶拒绝继续接收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避免越界，形成空间约束</w:t>
            </w:r>
          </w:p>
        </w:tc>
      </w:tr>
      <w:tr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空瓶接收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空瓶可在容量内接收液体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提供调整顺序的缓冲位置</w:t>
            </w:r>
          </w:p>
        </w:tc>
      </w:tr>
      <w:tr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颜色匹配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非空瓶要求顶部颜色匹配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把颜色关系转化为合法操作条件</w:t>
            </w:r>
          </w:p>
        </w:tc>
      </w:tr>
      <w:tr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转移上限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转移量受接收瓶剩余空间限制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同一步操作的收益取决于当前局面</w:t>
            </w:r>
          </w:p>
        </w:tc>
      </w:tr>
    </w:tbl>
    <w:p>
      <w:pPr>
        <w:spacing w:after="0"/>
      </w:pPr>
    </w:p>
    <w:p>
      <w:pPr>
        <w:pStyle w:val="Heading2"/>
      </w:pPr>
      <w:r>
        <w:t>教学先建立操作因果</w:t>
      </w:r>
    </w:p>
    <w:p>
      <w:pPr/>
      <w:r>
        <w:t>第一关界面以手势和“点击选择瓶子”提示确定起点，下方辅助入口呈锁定状态。让玩家先理解选择与倒水之间的关系，可以减少首次进入时同时理解多种系统的负担。实际教学完成率仍需记录玩家操作后评估。</w:t>
      </w:r>
    </w:p>
    <w:p>
      <w:pPr>
        <w:pStyle w:val="Heading2"/>
      </w:pPr>
      <w:r>
        <w:t>策划关注点</w:t>
      </w:r>
    </w:p>
    <w:p>
      <w:pPr/>
      <w:r>
        <w:t>同样的颜色数量可以产生不同难度：连续同色更容易合并，颜色交错会增加搬运次数；两个空格分散在不同瓶中，与一个完整空瓶也不是相同的可用空间。关卡评审应同时观察颜色顺序、空位位置和关键操作依赖。</w:t>
      </w:r>
    </w:p>
    <w:p>
      <w:pPr>
        <w:pStyle w:val="Heading1"/>
        <w:pageBreakBefore/>
      </w:pPr>
      <w:r>
        <w:t>一百二十关的配置变化</w:t>
      </w:r>
    </w:p>
    <w:p>
      <w:pPr/>
      <w:r>
        <w:t>以下统计以容量为四格的瓶子为普通容器。容量为零的特殊占位记录单独排除，不把它们计入普通瓶数量与填充率。颜色种类按配置颜色编号去重统计。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90681" cy="2971800"/>
            <wp:docPr id="2" name="Picture 2" descr="包内 RED1 关卡配置统计  该图不是通关率曲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90681" cy="2971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包内 RED1 关卡配置统计  该图不是通关率曲线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"/>
        <w:gridCol w:w="1584"/>
        <w:gridCol w:w="1296"/>
        <w:gridCol w:w="1800"/>
        <w:gridCol w:w="1800"/>
        <w:gridCol w:w="2376"/>
      </w:tblGrid>
      <w:tr>
        <w:trPr>
          <w:tblHeader/>
        </w:trPr>
        <w:tc>
          <w:tcPr>
            <w:tcW w:type="dxa" w:w="10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7EDF0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/>
                <w:sz w:val="18"/>
              </w:rPr>
              <w:t>关卡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7EDF0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/>
                <w:sz w:val="18"/>
              </w:rPr>
              <w:t>四格瓶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7EDF0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/>
                <w:sz w:val="18"/>
              </w:rPr>
              <w:t>颜色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7EDF0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/>
                <w:sz w:val="18"/>
              </w:rPr>
              <w:t>水格数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7EDF0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/>
                <w:sz w:val="18"/>
              </w:rPr>
              <w:t>空格数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7EDF0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/>
                <w:sz w:val="18"/>
              </w:rPr>
              <w:t>填充率</w:t>
            </w:r>
          </w:p>
        </w:tc>
      </w:tr>
      <w:tr>
        <w:tc>
          <w:tcPr>
            <w:tcW w:type="dxa" w:w="10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60.0%</w:t>
            </w:r>
          </w:p>
        </w:tc>
      </w:tr>
      <w:tr>
        <w:tc>
          <w:tcPr>
            <w:tcW w:type="dxa" w:w="10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20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20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50.0%</w:t>
            </w:r>
          </w:p>
        </w:tc>
      </w:tr>
      <w:tr>
        <w:tc>
          <w:tcPr>
            <w:tcW w:type="dxa" w:w="10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36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75.0%</w:t>
            </w:r>
          </w:p>
        </w:tc>
      </w:tr>
      <w:tr>
        <w:tc>
          <w:tcPr>
            <w:tcW w:type="dxa" w:w="10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19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68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89.5%</w:t>
            </w:r>
          </w:p>
        </w:tc>
      </w:tr>
      <w:tr>
        <w:tc>
          <w:tcPr>
            <w:tcW w:type="dxa" w:w="10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19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68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89.5%</w:t>
            </w:r>
          </w:p>
        </w:tc>
      </w:tr>
      <w:tr>
        <w:tc>
          <w:tcPr>
            <w:tcW w:type="dxa" w:w="10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30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20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72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90.0%</w:t>
            </w:r>
          </w:p>
        </w:tc>
      </w:tr>
      <w:tr>
        <w:tc>
          <w:tcPr>
            <w:tcW w:type="dxa" w:w="10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60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23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84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91.3%</w:t>
            </w:r>
          </w:p>
        </w:tc>
      </w:tr>
      <w:tr>
        <w:tc>
          <w:tcPr>
            <w:tcW w:type="dxa" w:w="10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120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23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84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  <w:jc w:val="center"/>
            </w:pPr>
            <w:r>
              <w:rPr>
                <w:b w:val="0"/>
                <w:sz w:val="18"/>
              </w:rPr>
              <w:t>91.3%</w:t>
            </w:r>
          </w:p>
        </w:tc>
      </w:tr>
    </w:tbl>
    <w:p>
      <w:pPr>
        <w:spacing w:after="0"/>
      </w:pPr>
    </w:p>
    <w:p>
      <w:pPr/>
      <w:r>
        <w:t>第 1 关为 5 个四格瓶、3 种颜色；第 4 关已增至 19 个四格瓶、7 种颜色。此处存在明显的配置规模台阶，需要重点验证玩家是否已经掌握颜色匹配和缓冲空间的使用。</w:t>
      </w:r>
    </w:p>
    <w:p>
      <w:pPr>
        <w:pStyle w:val="Heading1"/>
        <w:pageBreakBefore/>
      </w:pPr>
      <w:r>
        <w:t>关卡节奏与难度分析</w:t>
      </w:r>
    </w:p>
    <w:p>
      <w:pPr>
        <w:pStyle w:val="Heading2"/>
      </w:pPr>
      <w:r>
        <w:t>从理解规则到管理空间</w:t>
      </w:r>
    </w:p>
    <w:p>
      <w:pPr/>
      <w:r>
        <w:t>第 1 关填充率为 60%，第 2 关为 50%，第 3 关为 75%。早期并非逐关增加填充率，而是在不同布局中提供规则学习空间。第 4 至 10 关平均填充率约 88.3%，第 91 至 120 关约 91.4%，后段普通容器的总体空余比例更低。</w:t>
      </w:r>
    </w:p>
    <w:p>
      <w:pPr>
        <w:pStyle w:val="Heading2"/>
      </w:pPr>
      <w:r>
        <w:t>难度不能只靠瓶子数量判断</w:t>
      </w:r>
    </w:p>
    <w:p>
      <w:pPr/>
      <w:r>
        <w:t>瓶子增加会扩大观察范围，但也可能增加可用缓冲；填充率提高会减少空位，但如果同色已经连续，实际解法仍可能很短。建议同时使用可达空瓶数、顶部可匹配对数、颜色交错次数、关键操作链长度来描述关卡，避免只用一个百分比决定难度。</w:t>
      </w:r>
    </w:p>
    <w:p>
      <w:pPr>
        <w:pStyle w:val="Heading2"/>
      </w:pPr>
      <w:r>
        <w:t>特殊配置需要用实际表现解释</w:t>
      </w:r>
    </w:p>
    <w:p>
      <w:pPr/>
      <w:r>
        <w:t>从第 7 关起，配置出现 BIM.Id 为 2 的水格记录，该关共 24 个，水格总数为 68。仅凭字段不能确定其具体表现是遮挡、封锁还是其他状态，因此不为它命名具体玩法。确认运行效果后，再记录触发条件、解除方式与引导要求。</w:t>
      </w:r>
    </w:p>
    <w:p>
      <w:pPr>
        <w:pStyle w:val="Heading2"/>
      </w:pPr>
      <w:r>
        <w:t>下一轮调关建议</w:t>
      </w:r>
    </w:p>
    <w:p>
      <w:pPr/>
      <w:r>
        <w:t>优先复测第 3 至 4 关衔接：如果玩家在瓶子规模上升后频繁停顿，可以保留部分熟悉排列，先引入一个新约束，再增加布局规模。后段可以安排明确的缓冲关，让玩家用刚学会的方法获得一次较顺畅的完成体验。这些是迭代建议，尚不是已上线的调参结果。</w:t>
      </w:r>
    </w:p>
    <w:p>
      <w:pPr>
        <w:pStyle w:val="Heading1"/>
        <w:pageBreakBefore/>
      </w:pPr>
      <w:r>
        <w:t>数值口径与辅助系统</w:t>
      </w:r>
    </w:p>
    <w:p>
      <w:pPr>
        <w:pStyle w:val="Heading2"/>
      </w:pPr>
      <w:r>
        <w:t>用可复算的指标描述空间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4176"/>
        <w:gridCol w:w="4032"/>
      </w:tblGrid>
      <w:tr>
        <w:trPr>
          <w:tblHeader/>
        </w:trPr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7EDF0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/>
                <w:sz w:val="18"/>
              </w:rPr>
              <w:t>指标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7EDF0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/>
                <w:sz w:val="18"/>
              </w:rPr>
              <w:t>计算方式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7EDF0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/>
                <w:sz w:val="18"/>
              </w:rPr>
              <w:t>解释</w:t>
            </w:r>
          </w:p>
        </w:tc>
      </w:tr>
      <w:tr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总容量 S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四格普通瓶数量 × 4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排除零容量特殊占位</w:t>
            </w:r>
          </w:p>
        </w:tc>
      </w:tr>
      <w:tr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初始水量 W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统计含液体数据的格子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不把空格视为液体</w:t>
            </w:r>
          </w:p>
        </w:tc>
      </w:tr>
      <w:tr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空余容量 E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S − W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描述总体缓冲量</w:t>
            </w:r>
          </w:p>
        </w:tc>
      </w:tr>
      <w:tr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填充率 F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W ÷ S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描述占用比例，不能替代实测难度</w:t>
            </w:r>
          </w:p>
        </w:tc>
      </w:tr>
      <w:tr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颜色种类 K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不同颜色编号数量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描述分类对象规模</w:t>
            </w:r>
          </w:p>
        </w:tc>
      </w:tr>
    </w:tbl>
    <w:p>
      <w:pPr>
        <w:spacing w:after="0"/>
      </w:pPr>
    </w:p>
    <w:p>
      <w:pPr/>
      <w:r>
        <w:t>例如第 4 关：S = 19 × 4 = 76，W = 68，E = 8，F ≈ 89.5%。8 个空格的分布会影响可操作性，应结合每个瓶子的完整顺序分析，不能简单解释为“有两个可用空瓶”。</w:t>
      </w:r>
    </w:p>
    <w:p>
      <w:pPr>
        <w:pStyle w:val="Heading2"/>
      </w:pPr>
      <w:r>
        <w:t>经济系统与辅助入口</w:t>
      </w:r>
    </w:p>
    <w:p>
      <w:pPr/>
      <w:r>
        <w:t>初始实机界面显示 1000 金币，上方存在带视频图标的入口，下方三个辅助入口尚未解锁。程序中可以找到撤销、加瓶、备用位置等相关逻辑，但当前证据不足以确定每项入口的解锁关卡、消耗金额和广告奖励规则。这里不填写推测的价格或产出。</w:t>
      </w:r>
    </w:p>
    <w:p>
      <w:pPr>
        <w:pStyle w:val="Heading2"/>
      </w:pPr>
      <w:r>
        <w:t>反馈节奏的调参方式</w:t>
      </w:r>
    </w:p>
    <w:p>
      <w:pPr/>
      <w:r>
        <w:t>包内动画配置包含上升区间 [5,20]、整列区间 [0,15] 和回位区间 [0,10] 等帧索引。没有确认播放帧率前，不换算成秒数。建议实测“点击到开始动作”和“操作结束到再次可点击”的时长，再调整节奏，避免动画等待压过思考本身。</w:t>
      </w:r>
    </w:p>
    <w:p>
      <w:pPr>
        <w:pStyle w:val="Heading1"/>
        <w:pageBreakBefore/>
      </w:pPr>
      <w:r>
        <w:t>验证计划与设计复盘</w:t>
      </w:r>
    </w:p>
    <w:p>
      <w:pPr/>
      <w:r>
        <w:t>这个 Demo 展示的是将简单点击转化为有顺序依赖的解谜过程：基础规则容易表达，关卡变化依靠局面与空间管理。后续重点应放在前期规模台阶、特殊格引导和辅助功能的使用时机。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4176"/>
        <w:gridCol w:w="4032"/>
      </w:tblGrid>
      <w:tr>
        <w:trPr>
          <w:tblHeader/>
        </w:trPr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7EDF0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/>
                <w:sz w:val="18"/>
              </w:rPr>
              <w:t>验证问题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7EDF0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/>
                <w:sz w:val="18"/>
              </w:rPr>
              <w:t>记录方式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7EDF0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/>
                <w:sz w:val="18"/>
              </w:rPr>
              <w:t>据此做什么</w:t>
            </w:r>
          </w:p>
        </w:tc>
      </w:tr>
      <w:tr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教学是否清楚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首次有效倒水耗时、无效点选原因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调整提示位置和操作顺序</w:t>
            </w:r>
          </w:p>
        </w:tc>
      </w:tr>
      <w:tr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第 4 关是否突变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对比第 3 和第 4 关重试与停顿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调整布局规模和过渡关</w:t>
            </w:r>
          </w:p>
        </w:tc>
      </w:tr>
      <w:tr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空位是否够用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记录死局前操作和剩余可移动对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定位缓冲不足或误导布局</w:t>
            </w:r>
          </w:p>
        </w:tc>
      </w:tr>
      <w:tr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辅助是否有用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记录辅助触发前后进度与耗时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调整开放时机与提示</w:t>
            </w:r>
          </w:p>
        </w:tc>
      </w:tr>
      <w:tr>
        <w:tc>
          <w:tcPr>
            <w:tcW w:type="dxa" w:w="172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操作反馈是否拖沓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记录连续输入与动画结束时点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40" w:line="276" w:lineRule="auto"/>
            </w:pPr>
            <w:r>
              <w:rPr>
                <w:b w:val="0"/>
                <w:sz w:val="18"/>
              </w:rPr>
              <w:t>优化可输入窗口和动画时长</w:t>
            </w:r>
          </w:p>
        </w:tc>
      </w:tr>
    </w:tbl>
    <w:p>
      <w:pPr>
        <w:spacing w:after="0"/>
      </w:pPr>
    </w:p>
    <w:p>
      <w:pPr>
        <w:pStyle w:val="Heading2"/>
      </w:pPr>
      <w:r>
        <w:t>验收原则</w:t>
      </w:r>
    </w:p>
    <w:p>
      <w:pPr/>
      <w:r>
        <w:t>先固定版本与关卡配置，再记录样本量和测试条件。解法校验用于确认是否可完成，真人测试用于判断是否能理解、是否愿意继续。只有取得数据后，才能给出通关率、平均步数、留存或转化结论。</w:t>
      </w:r>
    </w:p>
    <w:p>
      <w:pPr>
        <w:pStyle w:val="Heading2"/>
      </w:pPr>
      <w:r>
        <w:t>资料与统计说明</w:t>
      </w:r>
    </w:p>
    <w:p>
      <w:pPr/>
      <w:r>
        <w:t>依据为本人提供的 Android Demo、实际启动的初始教学界面，以及包内 RED1/LevelsConfig.json 和 lv1-1.json 至 lv120-1.json。规则交叉检查参考 canPush 的容量与颜色判断逻辑。所有关卡的 hardLevel 标记均为 0，不能据此断言所有关卡都容易；包内配置也不自动证明线上分支和动态配置。</w:t>
      </w:r>
    </w:p>
    <w:p>
      <w:pPr/>
      <w:r>
        <w:t>文档中的功能观察、配置事实和迭代建议分别说明。未提供玩家测试样本的指标不填写结果。项目角色为个人独立制作；本分析用于作品展示与后续迭代。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60"/>
    </w:pPr>
    <w:rPr>
      <w:rFonts w:ascii="Microsoft YaHei" w:hAnsi="Microsoft YaHei" w:eastAsia="Microsoft YaHe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Microsoft YaHei" w:hAnsi="Microsoft YaHei" w:eastAsia="Microsoft YaHei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休闲倒水解谜关卡与数值设计分析</dc:title>
  <dc:subject>休闲游戏关卡与数值设计</dc:subject>
  <dc:creator>丁华峰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