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  <w:keepNext w:val="0"/>
        <w:snapToGrid w:val="0"/>
      </w:pPr>
      <w:r>
        <w:rPr>
          <w:rFonts w:ascii="微软雅黑" w:hAnsi="微软雅黑" w:eastAsia="微软雅黑"/>
        </w:rPr>
        <w:t>丁华峰  2026</w:t>
      </w:r>
    </w:p>
    <w:p>
      <w:pPr>
        <w:pStyle w:val="Title"/>
        <w:snapToGrid w:val="0"/>
      </w:pPr>
      <w:r>
        <w:rPr>
          <w:rFonts w:ascii="微软雅黑" w:hAnsi="微软雅黑" w:eastAsia="微软雅黑"/>
        </w:rPr>
        <w:t>试玩广告策划作品集</w:t>
      </w:r>
    </w:p>
    <w:p>
      <w:pPr>
        <w:pStyle w:val="Subtitle"/>
        <w:keepNext w:val="0"/>
        <w:snapToGrid w:val="0"/>
      </w:pPr>
      <w:r>
        <w:rPr>
          <w:rFonts w:ascii="微软雅黑" w:hAnsi="微软雅黑" w:eastAsia="微软雅黑"/>
        </w:rPr>
        <w:t>关卡设计  ·  AIGC 制作协作  ·  交付验收</w:t>
      </w:r>
    </w:p>
    <w:p>
      <w:pPr>
        <w:keepNext w:val="0"/>
        <w:snapToGrid w:val="0"/>
      </w:pPr>
      <w:r>
        <w:rPr>
          <w:rFonts w:ascii="微软雅黑" w:hAnsi="微软雅黑" w:eastAsia="微软雅黑"/>
        </w:rPr>
        <w:t>我主要参与试玩广告的创意与关卡策划、需求拆解、制作协作和验收。本作品集以实际运行画面、策划文档和流程规范，展示从交互构想到成品交付的工作。</w:t>
      </w:r>
    </w:p>
    <w:p>
      <w:pPr>
        <w:spacing w:after="80" w:line="240" w:lineRule="auto"/>
        <w:jc w:val="center"/>
        <w:snapToGrid w:val="0"/>
      </w:pPr>
      <w:r>
        <w:rPr>
          <w:rFonts w:ascii="微软雅黑" w:hAnsi="微软雅黑" w:eastAsia="微软雅黑"/>
        </w:rPr>
        <w:drawing>
          <wp:inline xmlns:a="http://schemas.openxmlformats.org/drawingml/2006/main" xmlns:pic="http://schemas.openxmlformats.org/drawingml/2006/picture">
            <wp:extent cx="5242255" cy="2948768"/>
            <wp:docPr id="1" name="Picture 1" descr="剧情解谜方向  将救援情境转化为明确的点击目标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idge-start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42255" cy="29487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 w:val="0"/>
        <w:snapToGrid w:val="0"/>
      </w:pPr>
      <w:r>
        <w:rPr>
          <w:rFonts w:ascii="微软雅黑" w:hAnsi="微软雅黑" w:eastAsia="微软雅黑"/>
        </w:rPr>
        <w:t>剧情解谜方向  将救援情境转化为明确的点击目标</w:t>
      </w:r>
    </w:p>
    <w:p>
      <w:pPr>
        <w:spacing w:after="60" w:line="240" w:lineRule="auto"/>
        <w:jc w:val="center"/>
        <w:snapToGrid w:val="0"/>
      </w:pPr>
      <w:r>
        <w:rPr>
          <w:rFonts w:ascii="微软雅黑" w:hAnsi="微软雅黑" w:eastAsia="微软雅黑"/>
        </w:rPr>
        <w:drawing>
          <wp:inline xmlns:a="http://schemas.openxmlformats.org/drawingml/2006/main" xmlns:pic="http://schemas.openxmlformats.org/drawingml/2006/picture">
            <wp:extent cx="2788920" cy="1568768"/>
            <wp:docPr id="2" name="Picture 2" descr="解谜关卡  清晰的点击目标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scape-start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88920" cy="1568768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微软雅黑" w:hAnsi="微软雅黑" w:eastAsia="微软雅黑"/>
        </w:rPr>
        <w:t xml:space="preserve">  </w:t>
      </w:r>
      <w:r>
        <w:rPr>
          <w:rFonts w:ascii="微软雅黑" w:hAnsi="微软雅黑" w:eastAsia="微软雅黑"/>
        </w:rPr>
        <w:drawing>
          <wp:inline xmlns:a="http://schemas.openxmlformats.org/drawingml/2006/main" xmlns:pic="http://schemas.openxmlformats.org/drawingml/2006/picture">
            <wp:extent cx="2788920" cy="1568768"/>
            <wp:docPr id="3" name="Picture 3" descr="经营场景  可见的成长目标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in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788920" cy="15687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 w:val="0"/>
        <w:snapToGrid w:val="0"/>
      </w:pPr>
      <w:r>
        <w:rPr>
          <w:rFonts w:ascii="微软雅黑" w:hAnsi="微软雅黑" w:eastAsia="微软雅黑"/>
        </w:rPr>
        <w:t>解谜关卡  清晰的点击目标    ｜    经营场景  可见的成长目标</w:t>
      </w:r>
    </w:p>
    <w:p>
      <w:pPr>
        <w:pStyle w:val="Caption"/>
        <w:keepNext w:val="0"/>
        <w:snapToGrid w:val="0"/>
      </w:pPr>
      <w:r>
        <w:rPr>
          <w:rFonts w:ascii="微软雅黑" w:hAnsi="微软雅黑" w:eastAsia="微软雅黑"/>
        </w:rPr>
        <w:t>阅读顺序  成品案例 02—05  /  创意策划 06  /  AI 开发规范 07  /  验收流程 08</w:t>
      </w:r>
    </w:p>
    <w:p>
      <w:pPr>
        <w:pStyle w:val="Caption"/>
        <w:keepNext w:val="0"/>
        <w:snapToGrid w:val="0"/>
      </w:pPr>
      <w:r>
        <w:rPr>
          <w:rFonts w:ascii="微软雅黑" w:hAnsi="微软雅黑" w:eastAsia="微软雅黑"/>
        </w:rPr>
        <w:t>成品由团队协作完成；本集重点呈现策划视角与制作流程。展示素材已对品牌标识和内部信息进行脱敏。</w:t>
      </w:r>
    </w:p>
    <w:p>
      <w:pPr>
        <w:snapToGrid w:val="0"/>
      </w:pPr>
      <w:r>
        <w:rPr>
          <w:rFonts w:ascii="微软雅黑" w:hAnsi="微软雅黑" w:eastAsia="微软雅黑"/>
        </w:rPr>
        <w:br w:type="page"/>
      </w:r>
    </w:p>
    <w:p>
      <w:pPr>
        <w:pStyle w:val="Subtitle"/>
        <w:keepNext w:val="0"/>
        <w:snapToGrid w:val="0"/>
      </w:pPr>
      <w:r>
        <w:rPr>
          <w:rFonts w:ascii="微软雅黑" w:hAnsi="微软雅黑" w:eastAsia="微软雅黑"/>
        </w:rPr>
        <w:t>01  剧情与螺丝解谜</w:t>
      </w:r>
    </w:p>
    <w:p>
      <w:pPr>
        <w:pStyle w:val="Heading1"/>
        <w:snapToGrid w:val="0"/>
      </w:pPr>
      <w:r>
        <w:rPr>
          <w:rFonts w:ascii="微软雅黑" w:hAnsi="微软雅黑" w:eastAsia="微软雅黑"/>
        </w:rPr>
        <w:t>开锁越狱关卡</w:t>
      </w:r>
    </w:p>
    <w:p>
      <w:pPr>
        <w:keepNext w:val="0"/>
        <w:snapToGrid w:val="0"/>
      </w:pPr>
      <w:r>
        <w:rPr>
          <w:rFonts w:ascii="微软雅黑" w:hAnsi="微软雅黑" w:eastAsia="微软雅黑"/>
        </w:rPr>
        <w:t>先呈现被困情境，再引导玩家点击需要解除的限制，把“为什么要操作”与“操作什么”放在同一个画面里。</w:t>
      </w:r>
    </w:p>
    <w:p>
      <w:pPr>
        <w:spacing w:after="80" w:line="240" w:lineRule="auto"/>
        <w:jc w:val="center"/>
        <w:snapToGrid w:val="0"/>
      </w:pPr>
      <w:r>
        <w:rPr>
          <w:rFonts w:ascii="微软雅黑" w:hAnsi="微软雅黑" w:eastAsia="微软雅黑"/>
        </w:rPr>
        <w:drawing>
          <wp:inline xmlns:a="http://schemas.openxmlformats.org/drawingml/2006/main" xmlns:pic="http://schemas.openxmlformats.org/drawingml/2006/picture">
            <wp:extent cx="5716554" cy="3215562"/>
            <wp:docPr id="4" name="Picture 4" descr="情境入口  被困角色与点击提示共同建立解锁目标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scape-start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16554" cy="321556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 w:val="0"/>
        <w:snapToGrid w:val="0"/>
      </w:pPr>
      <w:r>
        <w:rPr>
          <w:rFonts w:ascii="微软雅黑" w:hAnsi="微软雅黑" w:eastAsia="微软雅黑"/>
        </w:rPr>
        <w:t>情境入口  被困角色与点击提示共同建立解锁目标</w:t>
      </w:r>
    </w:p>
    <w:p>
      <w:pPr>
        <w:spacing w:after="60" w:line="240" w:lineRule="auto"/>
        <w:jc w:val="center"/>
        <w:snapToGrid w:val="0"/>
      </w:pPr>
      <w:r>
        <w:rPr>
          <w:rFonts w:ascii="微软雅黑" w:hAnsi="微软雅黑" w:eastAsia="微软雅黑"/>
        </w:rPr>
        <w:drawing>
          <wp:inline xmlns:a="http://schemas.openxmlformats.org/drawingml/2006/main" xmlns:pic="http://schemas.openxmlformats.org/drawingml/2006/picture">
            <wp:extent cx="2788920" cy="1568768"/>
            <wp:docPr id="5" name="Picture 5" descr="初始结构  两颗螺丝与一个空孔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scape-puzzl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788920" cy="1568768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微软雅黑" w:hAnsi="微软雅黑" w:eastAsia="微软雅黑"/>
        </w:rPr>
        <w:t xml:space="preserve">  </w:t>
      </w:r>
      <w:r>
        <w:rPr>
          <w:rFonts w:ascii="微软雅黑" w:hAnsi="微软雅黑" w:eastAsia="微软雅黑"/>
        </w:rPr>
        <w:drawing>
          <wp:inline xmlns:a="http://schemas.openxmlformats.org/drawingml/2006/main" xmlns:pic="http://schemas.openxmlformats.org/drawingml/2006/picture">
            <wp:extent cx="2788920" cy="1568768"/>
            <wp:docPr id="6" name="Picture 6" descr="操作反馈  移走螺丝后金属条旋转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scape-mov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788920" cy="15687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 w:val="0"/>
        <w:snapToGrid w:val="0"/>
      </w:pPr>
      <w:r>
        <w:rPr>
          <w:rFonts w:ascii="微软雅黑" w:hAnsi="微软雅黑" w:eastAsia="微软雅黑"/>
        </w:rPr>
        <w:t>初始结构  两颗螺丝与一个空孔    ｜    操作反馈  移走螺丝后金属条旋转</w:t>
      </w:r>
    </w:p>
    <w:p>
      <w:pPr>
        <w:keepNext w:val="0"/>
        <w:snapToGrid w:val="0"/>
      </w:pPr>
      <w:r>
        <w:rPr>
          <w:rFonts w:ascii="微软雅黑" w:hAnsi="微软雅黑" w:eastAsia="微软雅黑"/>
          <w:b/>
        </w:rPr>
        <w:t xml:space="preserve">交互拆解  </w:t>
      </w:r>
      <w:r>
        <w:rPr>
          <w:rFonts w:ascii="微软雅黑" w:hAnsi="微软雅黑" w:eastAsia="微软雅黑"/>
        </w:rPr>
        <w:t>选择螺丝 → 选择空孔 → 螺丝迁移 → 观察金属条的物理反馈。用最小结构承接第一次学习，再逐步增加结构复杂度。</w:t>
      </w:r>
    </w:p>
    <w:p>
      <w:pPr>
        <w:keepNext w:val="0"/>
        <w:snapToGrid w:val="0"/>
      </w:pPr>
      <w:r>
        <w:rPr>
          <w:rFonts w:ascii="微软雅黑" w:hAnsi="微软雅黑" w:eastAsia="微软雅黑"/>
          <w:b/>
        </w:rPr>
        <w:t xml:space="preserve">策划关注  </w:t>
      </w:r>
      <w:r>
        <w:rPr>
          <w:rFonts w:ascii="微软雅黑" w:hAnsi="微软雅黑" w:eastAsia="微软雅黑"/>
        </w:rPr>
        <w:t>提示位置是否明确、孔位能否准确点击、物体运动是否符合预期，以及关卡完成后能否自然接续剧情。</w:t>
      </w:r>
    </w:p>
    <w:p>
      <w:pPr>
        <w:pStyle w:val="Caption"/>
        <w:keepNext w:val="0"/>
        <w:snapToGrid w:val="0"/>
      </w:pPr>
      <w:r>
        <w:rPr>
          <w:rFonts w:ascii="微软雅黑" w:hAnsi="微软雅黑" w:eastAsia="微软雅黑"/>
        </w:rPr>
        <w:t>成品画面  本地 HTML 运行截图。此页展示入口与首轮操作，不将局部演示等同于完整通关。</w:t>
      </w:r>
    </w:p>
    <w:p>
      <w:pPr>
        <w:snapToGrid w:val="0"/>
      </w:pPr>
      <w:r>
        <w:rPr>
          <w:rFonts w:ascii="微软雅黑" w:hAnsi="微软雅黑" w:eastAsia="微软雅黑"/>
        </w:rPr>
        <w:br w:type="page"/>
      </w:r>
    </w:p>
    <w:p>
      <w:pPr>
        <w:pStyle w:val="Subtitle"/>
        <w:keepNext w:val="0"/>
        <w:snapToGrid w:val="0"/>
      </w:pPr>
      <w:r>
        <w:rPr>
          <w:rFonts w:ascii="微软雅黑" w:hAnsi="微软雅黑" w:eastAsia="微软雅黑"/>
        </w:rPr>
        <w:t>02  同一核心玩法的情境变化</w:t>
      </w:r>
    </w:p>
    <w:p>
      <w:pPr>
        <w:pStyle w:val="Heading1"/>
        <w:snapToGrid w:val="0"/>
      </w:pPr>
      <w:r>
        <w:rPr>
          <w:rFonts w:ascii="微软雅黑" w:hAnsi="微软雅黑" w:eastAsia="微软雅黑"/>
        </w:rPr>
        <w:t>高空吊桥关卡</w:t>
      </w:r>
    </w:p>
    <w:p>
      <w:pPr>
        <w:keepNext w:val="0"/>
        <w:snapToGrid w:val="0"/>
      </w:pPr>
      <w:r>
        <w:rPr>
          <w:rFonts w:ascii="微软雅黑" w:hAnsi="微软雅黑" w:eastAsia="微软雅黑"/>
        </w:rPr>
        <w:t>将核心螺丝操作放入高空吊桥场景，通过人物位置、悬空环境和倒计时建立紧迫感，让简单操作具有具体的救援目的。</w:t>
      </w:r>
    </w:p>
    <w:p>
      <w:pPr>
        <w:spacing w:after="80" w:line="240" w:lineRule="auto"/>
        <w:jc w:val="center"/>
        <w:snapToGrid w:val="0"/>
      </w:pPr>
      <w:r>
        <w:rPr>
          <w:rFonts w:ascii="微软雅黑" w:hAnsi="微软雅黑" w:eastAsia="微软雅黑"/>
        </w:rPr>
        <w:drawing>
          <wp:inline xmlns:a="http://schemas.openxmlformats.org/drawingml/2006/main" xmlns:pic="http://schemas.openxmlformats.org/drawingml/2006/picture">
            <wp:extent cx="5242255" cy="2948768"/>
            <wp:docPr id="7" name="Picture 7" descr="情境包装  悬崖与吊桥提供风险感，TAP 提示落在关键交互位置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idge-start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42255" cy="29487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 w:val="0"/>
        <w:snapToGrid w:val="0"/>
      </w:pPr>
      <w:r>
        <w:rPr>
          <w:rFonts w:ascii="微软雅黑" w:hAnsi="微软雅黑" w:eastAsia="微软雅黑"/>
        </w:rPr>
        <w:t>情境包装  悬崖与吊桥提供风险感，TAP 提示落在关键交互位置</w:t>
      </w:r>
    </w:p>
    <w:p>
      <w:pPr>
        <w:spacing w:after="80" w:line="240" w:lineRule="auto"/>
        <w:jc w:val="center"/>
        <w:snapToGrid w:val="0"/>
      </w:pPr>
      <w:r>
        <w:rPr>
          <w:rFonts w:ascii="微软雅黑" w:hAnsi="微软雅黑" w:eastAsia="微软雅黑"/>
        </w:rPr>
        <w:drawing>
          <wp:inline xmlns:a="http://schemas.openxmlformats.org/drawingml/2006/main" xmlns:pic="http://schemas.openxmlformats.org/drawingml/2006/picture">
            <wp:extent cx="5242255" cy="2948768"/>
            <wp:docPr id="8" name="Picture 8" descr="进入玩法  保留场景背景，叠加解谜面板与倒计时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idge-puzzl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42255" cy="29487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 w:val="0"/>
        <w:snapToGrid w:val="0"/>
      </w:pPr>
      <w:r>
        <w:rPr>
          <w:rFonts w:ascii="微软雅黑" w:hAnsi="微软雅黑" w:eastAsia="微软雅黑"/>
        </w:rPr>
        <w:t>进入玩法  保留场景背景，叠加解谜面板与倒计时</w:t>
      </w:r>
    </w:p>
    <w:p>
      <w:pPr>
        <w:keepNext w:val="0"/>
        <w:snapToGrid w:val="0"/>
      </w:pPr>
      <w:r>
        <w:rPr>
          <w:rFonts w:ascii="微软雅黑" w:hAnsi="微软雅黑" w:eastAsia="微软雅黑"/>
          <w:b/>
        </w:rPr>
        <w:t xml:space="preserve">设计重点  </w:t>
      </w:r>
      <w:r>
        <w:rPr>
          <w:rFonts w:ascii="微软雅黑" w:hAnsi="微软雅黑" w:eastAsia="微软雅黑"/>
        </w:rPr>
        <w:t>保持核心操作一致，同时调整剧情触发点、反馈动画和关卡节奏；验收时关注解谜完成与剧情推进的衔接，避免玩家操作结束后失去反馈。</w:t>
      </w:r>
    </w:p>
    <w:p>
      <w:pPr>
        <w:snapToGrid w:val="0"/>
      </w:pPr>
      <w:r>
        <w:rPr>
          <w:rFonts w:ascii="微软雅黑" w:hAnsi="微软雅黑" w:eastAsia="微软雅黑"/>
        </w:rPr>
        <w:br w:type="page"/>
      </w:r>
    </w:p>
    <w:p>
      <w:pPr>
        <w:pStyle w:val="Subtitle"/>
        <w:keepNext w:val="0"/>
        <w:snapToGrid w:val="0"/>
      </w:pPr>
      <w:r>
        <w:rPr>
          <w:rFonts w:ascii="微软雅黑" w:hAnsi="微软雅黑" w:eastAsia="微软雅黑"/>
        </w:rPr>
        <w:t>03  模拟经营与成长反馈</w:t>
      </w:r>
    </w:p>
    <w:p>
      <w:pPr>
        <w:pStyle w:val="Heading1"/>
        <w:snapToGrid w:val="0"/>
      </w:pPr>
      <w:r>
        <w:rPr>
          <w:rFonts w:ascii="微软雅黑" w:hAnsi="微软雅黑" w:eastAsia="微软雅黑"/>
        </w:rPr>
        <w:t>农场生产场景</w:t>
      </w:r>
    </w:p>
    <w:p>
      <w:pPr>
        <w:keepNext w:val="0"/>
        <w:snapToGrid w:val="0"/>
      </w:pPr>
      <w:r>
        <w:rPr>
          <w:rFonts w:ascii="微软雅黑" w:hAnsi="微软雅黑" w:eastAsia="微软雅黑"/>
        </w:rPr>
        <w:t>以农作物、加工设备和建设区域组织经营场景。让玩家先看见可收集的资源，再看见资源可以流向哪里，减少对长文本说明的依赖。</w:t>
      </w:r>
    </w:p>
    <w:p>
      <w:pPr>
        <w:spacing w:after="80" w:line="240" w:lineRule="auto"/>
        <w:jc w:val="center"/>
        <w:snapToGrid w:val="0"/>
      </w:pPr>
      <w:r>
        <w:rPr>
          <w:rFonts w:ascii="微软雅黑" w:hAnsi="微软雅黑" w:eastAsia="微软雅黑"/>
        </w:rPr>
        <w:drawing>
          <wp:inline xmlns:a="http://schemas.openxmlformats.org/drawingml/2006/main" xmlns:pic="http://schemas.openxmlformats.org/drawingml/2006/picture">
            <wp:extent cx="5242255" cy="2616824"/>
            <wp:docPr id="9" name="Picture 9" descr="成品场景  原作品集画面，保留原有角色与素材脱敏处理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arm-original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42255" cy="26168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 w:val="0"/>
        <w:snapToGrid w:val="0"/>
      </w:pPr>
      <w:r>
        <w:rPr>
          <w:rFonts w:ascii="微软雅黑" w:hAnsi="微软雅黑" w:eastAsia="微软雅黑"/>
        </w:rPr>
        <w:t>成品场景  原作品集画面，保留原有角色与素材脱敏处理</w:t>
      </w:r>
    </w:p>
    <w:p>
      <w:pPr>
        <w:spacing w:after="80" w:line="240" w:lineRule="auto"/>
        <w:jc w:val="center"/>
        <w:snapToGrid w:val="0"/>
      </w:pPr>
      <w:r>
        <w:rPr>
          <w:rFonts w:ascii="微软雅黑" w:hAnsi="微软雅黑" w:eastAsia="微软雅黑"/>
        </w:rPr>
        <w:drawing>
          <wp:inline xmlns:a="http://schemas.openxmlformats.org/drawingml/2006/main" xmlns:pic="http://schemas.openxmlformats.org/drawingml/2006/picture">
            <wp:extent cx="5242255" cy="2948768"/>
            <wp:docPr id="10" name="Picture 10" descr="初始引导  拖动提示、设备区域与升级入口集中在可见范围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arm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42255" cy="29487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 w:val="0"/>
        <w:snapToGrid w:val="0"/>
      </w:pPr>
      <w:r>
        <w:rPr>
          <w:rFonts w:ascii="微软雅黑" w:hAnsi="微软雅黑" w:eastAsia="微软雅黑"/>
        </w:rPr>
        <w:t>初始引导  拖动提示、设备区域与升级入口集中在可见范围内</w:t>
      </w:r>
    </w:p>
    <w:p>
      <w:pPr>
        <w:keepNext w:val="0"/>
        <w:snapToGrid w:val="0"/>
      </w:pPr>
      <w:r>
        <w:rPr>
          <w:rFonts w:ascii="微软雅黑" w:hAnsi="微软雅黑" w:eastAsia="微软雅黑"/>
          <w:b/>
        </w:rPr>
        <w:t xml:space="preserve">策划关注  </w:t>
      </w:r>
      <w:r>
        <w:rPr>
          <w:rFonts w:ascii="微软雅黑" w:hAnsi="微软雅黑" w:eastAsia="微软雅黑"/>
        </w:rPr>
        <w:t>资源入口、移动路径与设备投放区要容易辨认；升级成本应紧贴对应设施，帮助玩家理解下一步目标。画面中的货币与成本为玩法数值。</w:t>
      </w:r>
    </w:p>
    <w:p>
      <w:pPr>
        <w:snapToGrid w:val="0"/>
      </w:pPr>
      <w:r>
        <w:rPr>
          <w:rFonts w:ascii="微软雅黑" w:hAnsi="微软雅黑" w:eastAsia="微软雅黑"/>
        </w:rPr>
        <w:br w:type="page"/>
      </w:r>
    </w:p>
    <w:p>
      <w:pPr>
        <w:pStyle w:val="Subtitle"/>
        <w:keepNext w:val="0"/>
        <w:snapToGrid w:val="0"/>
      </w:pPr>
      <w:r>
        <w:rPr>
          <w:rFonts w:ascii="微软雅黑" w:hAnsi="微软雅黑" w:eastAsia="微软雅黑"/>
        </w:rPr>
        <w:t>04  资源密度与生产动线</w:t>
      </w:r>
    </w:p>
    <w:p>
      <w:pPr>
        <w:pStyle w:val="Heading1"/>
        <w:snapToGrid w:val="0"/>
      </w:pPr>
      <w:r>
        <w:rPr>
          <w:rFonts w:ascii="微软雅黑" w:hAnsi="微软雅黑" w:eastAsia="微软雅黑"/>
        </w:rPr>
        <w:t>矿车收集场景</w:t>
      </w:r>
    </w:p>
    <w:p>
      <w:pPr>
        <w:keepNext w:val="0"/>
        <w:snapToGrid w:val="0"/>
      </w:pPr>
      <w:r>
        <w:rPr>
          <w:rFonts w:ascii="微软雅黑" w:hAnsi="微软雅黑" w:eastAsia="微软雅黑"/>
        </w:rPr>
        <w:t>通过堆积资源、环形轨道、加工设施和顾客队列，呈现更强的规模感。相比农场场景，视觉重点从单一设备转向多个生产节点之间的关系。</w:t>
      </w:r>
    </w:p>
    <w:p>
      <w:pPr>
        <w:spacing w:after="80" w:line="240" w:lineRule="auto"/>
        <w:jc w:val="center"/>
        <w:snapToGrid w:val="0"/>
      </w:pPr>
      <w:r>
        <w:rPr>
          <w:rFonts w:ascii="微软雅黑" w:hAnsi="微软雅黑" w:eastAsia="微软雅黑"/>
        </w:rPr>
        <w:drawing>
          <wp:inline xmlns:a="http://schemas.openxmlformats.org/drawingml/2006/main" xmlns:pic="http://schemas.openxmlformats.org/drawingml/2006/picture">
            <wp:extent cx="5716554" cy="3215562"/>
            <wp:docPr id="11" name="Picture 11" descr="场景全貌  左侧集中展示可处理资源，右侧布置生产与交付区域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in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16554" cy="321556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 w:val="0"/>
        <w:snapToGrid w:val="0"/>
      </w:pPr>
      <w:r>
        <w:rPr>
          <w:rFonts w:ascii="微软雅黑" w:hAnsi="微软雅黑" w:eastAsia="微软雅黑"/>
        </w:rPr>
        <w:t>场景全貌  左侧集中展示可处理资源，右侧布置生产与交付区域</w:t>
      </w:r>
    </w:p>
    <w:p>
      <w:pPr>
        <w:spacing w:after="80" w:line="240" w:lineRule="auto"/>
        <w:jc w:val="center"/>
        <w:snapToGrid w:val="0"/>
      </w:pPr>
      <w:r>
        <w:rPr>
          <w:rFonts w:ascii="微软雅黑" w:hAnsi="微软雅黑" w:eastAsia="微软雅黑"/>
        </w:rPr>
        <w:drawing>
          <wp:inline xmlns:a="http://schemas.openxmlformats.org/drawingml/2006/main" xmlns:pic="http://schemas.openxmlformats.org/drawingml/2006/picture">
            <wp:extent cx="5159044" cy="2590786"/>
            <wp:docPr id="12" name="Picture 12" descr="局部放大  投放区、加工设备、SELL 区域与顾客需求共同提示经营目标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ine-detail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159044" cy="259078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 w:val="0"/>
        <w:snapToGrid w:val="0"/>
      </w:pPr>
      <w:r>
        <w:rPr>
          <w:rFonts w:ascii="微软雅黑" w:hAnsi="微软雅黑" w:eastAsia="微软雅黑"/>
        </w:rPr>
        <w:t>局部放大  投放区、加工设备、SELL 区域与顾客需求共同提示经营目标</w:t>
      </w:r>
    </w:p>
    <w:p>
      <w:pPr>
        <w:keepNext w:val="0"/>
        <w:snapToGrid w:val="0"/>
      </w:pPr>
      <w:r>
        <w:rPr>
          <w:rFonts w:ascii="微软雅黑" w:hAnsi="微软雅黑" w:eastAsia="微软雅黑"/>
          <w:b/>
        </w:rPr>
        <w:t xml:space="preserve">设计判断  </w:t>
      </w:r>
      <w:r>
        <w:rPr>
          <w:rFonts w:ascii="微软雅黑" w:hAnsi="微软雅黑" w:eastAsia="微软雅黑"/>
        </w:rPr>
        <w:t>资源堆积提供直观吸引力，但也容易遮挡重点。需要通过区域边界、留白与需求气泡，使“去哪里、做什么”保持清晰。</w:t>
      </w:r>
    </w:p>
    <w:p>
      <w:pPr>
        <w:keepNext w:val="0"/>
        <w:snapToGrid w:val="0"/>
      </w:pPr>
      <w:r>
        <w:rPr>
          <w:rFonts w:ascii="微软雅黑" w:hAnsi="微软雅黑" w:eastAsia="微软雅黑"/>
          <w:b/>
        </w:rPr>
        <w:t xml:space="preserve">验收重点  </w:t>
      </w:r>
      <w:r>
        <w:rPr>
          <w:rFonts w:ascii="微软雅黑" w:hAnsi="微软雅黑" w:eastAsia="微软雅黑"/>
        </w:rPr>
        <w:t>移动范围、交互热区、资源反馈和顾客需求的可读性；同时检查设备与角色是否相互遮挡。</w:t>
      </w:r>
    </w:p>
    <w:p>
      <w:pPr>
        <w:snapToGrid w:val="0"/>
      </w:pPr>
      <w:r>
        <w:rPr>
          <w:rFonts w:ascii="微软雅黑" w:hAnsi="微软雅黑" w:eastAsia="微软雅黑"/>
        </w:rPr>
        <w:br w:type="page"/>
      </w:r>
    </w:p>
    <w:p>
      <w:pPr>
        <w:pStyle w:val="Subtitle"/>
        <w:keepNext w:val="0"/>
        <w:snapToGrid w:val="0"/>
      </w:pPr>
      <w:r>
        <w:rPr>
          <w:rFonts w:ascii="微软雅黑" w:hAnsi="微软雅黑" w:eastAsia="微软雅黑"/>
        </w:rPr>
        <w:t>05  从剧情设定到关卡脚本</w:t>
      </w:r>
    </w:p>
    <w:p>
      <w:pPr>
        <w:pStyle w:val="Heading1"/>
        <w:snapToGrid w:val="0"/>
      </w:pPr>
      <w:r>
        <w:rPr>
          <w:rFonts w:ascii="微软雅黑" w:hAnsi="微软雅黑" w:eastAsia="微软雅黑"/>
        </w:rPr>
        <w:t>冰与火魔法对决创意</w:t>
      </w:r>
    </w:p>
    <w:p>
      <w:pPr>
        <w:keepNext w:val="0"/>
        <w:snapToGrid w:val="0"/>
      </w:pPr>
      <w:r>
        <w:rPr>
          <w:rFonts w:ascii="微软雅黑" w:hAnsi="微软雅黑" w:eastAsia="微软雅黑"/>
        </w:rPr>
        <w:t>在创意阶段，将角色困境、玩家选择和关卡反馈一起拆解，避免方案只有故事背景，却缺少可以执行的操作说明。</w:t>
      </w:r>
    </w:p>
    <w:p>
      <w:pPr>
        <w:spacing w:after="80" w:line="240" w:lineRule="auto"/>
        <w:jc w:val="center"/>
        <w:snapToGrid w:val="0"/>
      </w:pPr>
      <w:r>
        <w:rPr>
          <w:rFonts w:ascii="微软雅黑" w:hAnsi="微软雅黑" w:eastAsia="微软雅黑"/>
        </w:rPr>
        <w:drawing>
          <wp:inline xmlns:a="http://schemas.openxmlformats.org/drawingml/2006/main" xmlns:pic="http://schemas.openxmlformats.org/drawingml/2006/picture">
            <wp:extent cx="5716554" cy="838428"/>
            <wp:docPr id="13" name="Picture 13" descr="策划原文节选  设定角色处境，并将魔法选择与结局表现关联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reative-intro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16554" cy="8384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 w:val="0"/>
        <w:snapToGrid w:val="0"/>
      </w:pPr>
      <w:r>
        <w:rPr>
          <w:rFonts w:ascii="微软雅黑" w:hAnsi="微软雅黑" w:eastAsia="微软雅黑"/>
        </w:rPr>
        <w:t>策划原文节选  设定角色处境，并将魔法选择与结局表现关联</w:t>
      </w:r>
    </w:p>
    <w:p>
      <w:pPr>
        <w:spacing w:after="80" w:line="240" w:lineRule="auto"/>
        <w:jc w:val="center"/>
        <w:snapToGrid w:val="0"/>
      </w:pPr>
      <w:r>
        <w:rPr>
          <w:rFonts w:ascii="微软雅黑" w:hAnsi="微软雅黑" w:eastAsia="微软雅黑"/>
        </w:rPr>
        <w:drawing>
          <wp:inline xmlns:a="http://schemas.openxmlformats.org/drawingml/2006/main" xmlns:pic="http://schemas.openxmlformats.org/drawingml/2006/picture">
            <wp:extent cx="3619652" cy="4511699"/>
            <wp:docPr id="14" name="Picture 14" descr="策划原表节选  按关卡列出包装场景、引导动作和通关后动画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reative-table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619652" cy="45116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 w:val="0"/>
        <w:snapToGrid w:val="0"/>
      </w:pPr>
      <w:r>
        <w:rPr>
          <w:rFonts w:ascii="微软雅黑" w:hAnsi="微软雅黑" w:eastAsia="微软雅黑"/>
        </w:rPr>
        <w:t>策划原表节选  按关卡列出包装场景、引导动作和通关后动画</w:t>
      </w:r>
    </w:p>
    <w:p>
      <w:pPr>
        <w:keepNext w:val="0"/>
        <w:snapToGrid w:val="0"/>
      </w:pPr>
      <w:r>
        <w:rPr>
          <w:rFonts w:ascii="微软雅黑" w:hAnsi="微软雅黑" w:eastAsia="微软雅黑"/>
          <w:b/>
        </w:rPr>
        <w:t xml:space="preserve">落地价值  </w:t>
      </w:r>
      <w:r>
        <w:rPr>
          <w:rFonts w:ascii="微软雅黑" w:hAnsi="微软雅黑" w:eastAsia="微软雅黑"/>
        </w:rPr>
        <w:t>制作同学可以按“场景—动作—结果”拆分素材与交互节点；若选择会影响结局，还应明确分支条件、资源组合和缺失素材的替代方案。</w:t>
      </w:r>
    </w:p>
    <w:p>
      <w:pPr>
        <w:pStyle w:val="Caption"/>
        <w:keepNext w:val="0"/>
        <w:snapToGrid w:val="0"/>
      </w:pPr>
      <w:r>
        <w:rPr>
          <w:rFonts w:ascii="微软雅黑" w:hAnsi="微软雅黑" w:eastAsia="微软雅黑"/>
        </w:rPr>
        <w:t>此页为创意方案展示，与前述已运行成品分开展示。</w:t>
      </w:r>
    </w:p>
    <w:p>
      <w:pPr>
        <w:snapToGrid w:val="0"/>
      </w:pPr>
      <w:r>
        <w:rPr>
          <w:rFonts w:ascii="微软雅黑" w:hAnsi="微软雅黑" w:eastAsia="微软雅黑"/>
        </w:rPr>
        <w:br w:type="page"/>
      </w:r>
    </w:p>
    <w:p>
      <w:pPr>
        <w:pStyle w:val="Subtitle"/>
        <w:keepNext w:val="0"/>
        <w:snapToGrid w:val="0"/>
      </w:pPr>
      <w:r>
        <w:rPr>
          <w:rFonts w:ascii="微软雅黑" w:hAnsi="微软雅黑" w:eastAsia="微软雅黑"/>
        </w:rPr>
        <w:t>06  将经验整理为可执行约束</w:t>
      </w:r>
    </w:p>
    <w:p>
      <w:pPr>
        <w:pStyle w:val="Heading1"/>
        <w:snapToGrid w:val="0"/>
      </w:pPr>
      <w:r>
        <w:rPr>
          <w:rFonts w:ascii="微软雅黑" w:hAnsi="微软雅黑" w:eastAsia="微软雅黑"/>
        </w:rPr>
        <w:t>AI 辅助制作需求规范</w:t>
      </w:r>
    </w:p>
    <w:p>
      <w:pPr>
        <w:keepNext w:val="0"/>
        <w:snapToGrid w:val="0"/>
      </w:pPr>
      <w:r>
        <w:rPr>
          <w:rFonts w:ascii="微软雅黑" w:hAnsi="微软雅黑" w:eastAsia="微软雅黑"/>
        </w:rPr>
        <w:t>AI 参与原型制作时，需要的不只是玩法描述，还包括对象关系、坐标基准、状态流转与渠道要求。将这些约束写入可复用模板，方便制作协作与问题定位。</w:t>
      </w:r>
    </w:p>
    <w:p>
      <w:pPr>
        <w:spacing w:after="80" w:line="240" w:lineRule="auto"/>
        <w:jc w:val="center"/>
        <w:snapToGrid w:val="0"/>
      </w:pPr>
      <w:r>
        <w:rPr>
          <w:rFonts w:ascii="微软雅黑" w:hAnsi="微软雅黑" w:eastAsia="微软雅黑"/>
        </w:rPr>
        <w:drawing>
          <wp:inline xmlns:a="http://schemas.openxmlformats.org/drawingml/2006/main" xmlns:pic="http://schemas.openxmlformats.org/drawingml/2006/picture">
            <wp:extent cx="5716554" cy="2443272"/>
            <wp:docPr id="15" name="Picture 15" descr="开发 Tips 原文节选  实体关系说明与提示词结构模板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ips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16554" cy="24432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 w:val="0"/>
        <w:snapToGrid w:val="0"/>
      </w:pPr>
      <w:r>
        <w:rPr>
          <w:rFonts w:ascii="微软雅黑" w:hAnsi="微软雅黑" w:eastAsia="微软雅黑"/>
        </w:rPr>
        <w:t>开发 Tips 原文节选  实体关系说明与提示词结构模板</w:t>
      </w:r>
    </w:p>
    <w:p>
      <w:pPr>
        <w:spacing w:after="80" w:line="240" w:lineRule="auto"/>
        <w:jc w:val="center"/>
        <w:snapToGrid w:val="0"/>
      </w:pPr>
      <w:r>
        <w:rPr>
          <w:rFonts w:ascii="微软雅黑" w:hAnsi="微软雅黑" w:eastAsia="微软雅黑"/>
        </w:rPr>
        <w:drawing>
          <wp:inline xmlns:a="http://schemas.openxmlformats.org/drawingml/2006/main" xmlns:pic="http://schemas.openxmlformats.org/drawingml/2006/picture">
            <wp:extent cx="2163470" cy="2818828"/>
            <wp:docPr id="16" name="Picture 16" descr="对应成品局部  固定底板、可移动螺丝与独立金属条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scape-detail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163470" cy="28188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 w:val="0"/>
        <w:snapToGrid w:val="0"/>
      </w:pPr>
      <w:r>
        <w:rPr>
          <w:rFonts w:ascii="微软雅黑" w:hAnsi="微软雅黑" w:eastAsia="微软雅黑"/>
        </w:rPr>
        <w:t>对应成品局部  固定底板、可移动螺丝与独立金属条</w:t>
      </w:r>
    </w:p>
    <w:p>
      <w:pPr>
        <w:keepNext w:val="0"/>
        <w:snapToGrid w:val="0"/>
      </w:pPr>
      <w:r>
        <w:rPr>
          <w:rFonts w:ascii="微软雅黑" w:hAnsi="微软雅黑" w:eastAsia="微软雅黑"/>
          <w:b/>
        </w:rPr>
        <w:t xml:space="preserve">对象关系  </w:t>
      </w:r>
      <w:r>
        <w:rPr>
          <w:rFonts w:ascii="微软雅黑" w:hAnsi="微软雅黑" w:eastAsia="微软雅黑"/>
        </w:rPr>
        <w:t>底板与孔位固定；金属条和螺丝独立。提示词中明确谁依赖谁、谁可以运动，避免把不应绑定的对象错误地连在一起。</w:t>
      </w:r>
    </w:p>
    <w:p>
      <w:pPr>
        <w:keepNext w:val="0"/>
        <w:snapToGrid w:val="0"/>
      </w:pPr>
      <w:r>
        <w:rPr>
          <w:rFonts w:ascii="微软雅黑" w:hAnsi="微软雅黑" w:eastAsia="微软雅黑"/>
          <w:b/>
        </w:rPr>
        <w:t xml:space="preserve">需求检查  </w:t>
      </w:r>
      <w:r>
        <w:rPr>
          <w:rFonts w:ascii="微软雅黑" w:hAnsi="微软雅黑" w:eastAsia="微软雅黑"/>
        </w:rPr>
        <w:t>在生成或修改前核对素材清单、横竖屏适配、胜负条件、死局处理及跳转规则；出现问题时回到具体对象与状态，而不是只描述“效果不对”。</w:t>
      </w:r>
    </w:p>
    <w:p>
      <w:pPr>
        <w:pStyle w:val="Caption"/>
        <w:keepNext w:val="0"/>
        <w:snapToGrid w:val="0"/>
      </w:pPr>
      <w:r>
        <w:rPr>
          <w:rFonts w:ascii="微软雅黑" w:hAnsi="微软雅黑" w:eastAsia="微软雅黑"/>
        </w:rPr>
        <w:t>文档为协作沉淀，本页呈现其中与 AI 策划工作直接相关的需求表达方法。</w:t>
      </w:r>
    </w:p>
    <w:p>
      <w:pPr>
        <w:snapToGrid w:val="0"/>
      </w:pPr>
      <w:r>
        <w:rPr>
          <w:rFonts w:ascii="微软雅黑" w:hAnsi="微软雅黑" w:eastAsia="微软雅黑"/>
        </w:rPr>
        <w:br w:type="page"/>
      </w:r>
    </w:p>
    <w:p>
      <w:pPr>
        <w:pStyle w:val="Subtitle"/>
        <w:keepNext w:val="0"/>
        <w:snapToGrid w:val="0"/>
      </w:pPr>
      <w:r>
        <w:rPr>
          <w:rFonts w:ascii="微软雅黑" w:hAnsi="微软雅黑" w:eastAsia="微软雅黑"/>
        </w:rPr>
        <w:t>07  从完成制作到可交付版本</w:t>
      </w:r>
    </w:p>
    <w:p>
      <w:pPr>
        <w:pStyle w:val="Heading1"/>
        <w:snapToGrid w:val="0"/>
      </w:pPr>
      <w:r>
        <w:rPr>
          <w:rFonts w:ascii="微软雅黑" w:hAnsi="微软雅黑" w:eastAsia="微软雅黑"/>
        </w:rPr>
        <w:t>试玩制作审核验收流程</w:t>
      </w:r>
    </w:p>
    <w:p>
      <w:pPr>
        <w:keepNext w:val="0"/>
        <w:snapToGrid w:val="0"/>
      </w:pPr>
      <w:r>
        <w:rPr>
          <w:rFonts w:ascii="微软雅黑" w:hAnsi="微软雅黑" w:eastAsia="微软雅黑"/>
        </w:rPr>
        <w:t>将自测、内部核验、策划验收和归档登记串成明确流程，为每一步标注操作、责任角色和进入下一步的条件，让问题可以追踪、修改可以复核。</w:t>
      </w:r>
    </w:p>
    <w:p>
      <w:pPr>
        <w:spacing w:after="80" w:line="240" w:lineRule="auto"/>
        <w:jc w:val="center"/>
        <w:snapToGrid w:val="0"/>
      </w:pPr>
      <w:r>
        <w:rPr>
          <w:rFonts w:ascii="微软雅黑" w:hAnsi="微软雅黑" w:eastAsia="微软雅黑"/>
        </w:rPr>
        <w:drawing>
          <wp:inline xmlns:a="http://schemas.openxmlformats.org/drawingml/2006/main" xmlns:pic="http://schemas.openxmlformats.org/drawingml/2006/picture">
            <wp:extent cx="5408676" cy="4430425"/>
            <wp:docPr id="17" name="Picture 17" descr="SOP 原文节选  已脱敏具体人员信息，并裁去内部测试地址与网盘信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op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408676" cy="44304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 w:val="0"/>
        <w:snapToGrid w:val="0"/>
      </w:pPr>
      <w:r>
        <w:rPr>
          <w:rFonts w:ascii="微软雅黑" w:hAnsi="微软雅黑" w:eastAsia="微软雅黑"/>
        </w:rPr>
        <w:t>SOP 原文节选  已脱敏具体人员信息，并裁去内部测试地址与网盘信息</w:t>
      </w:r>
    </w:p>
    <w:p>
      <w:pPr>
        <w:keepNext w:val="0"/>
        <w:snapToGrid w:val="0"/>
      </w:pPr>
      <w:r>
        <w:rPr>
          <w:rFonts w:ascii="微软雅黑" w:hAnsi="微软雅黑" w:eastAsia="微软雅黑"/>
          <w:b/>
        </w:rPr>
        <w:t xml:space="preserve">检查范围  </w:t>
      </w:r>
      <w:r>
        <w:rPr>
          <w:rFonts w:ascii="微软雅黑" w:hAnsi="微软雅黑" w:eastAsia="微软雅黑"/>
        </w:rPr>
        <w:t>玩法与交互符合需求，跳转和埋点经过检查，验收意见得到闭环处理，最终版本与登记信息保持一致。</w:t>
      </w:r>
    </w:p>
    <w:p>
      <w:pPr>
        <w:keepNext w:val="0"/>
        <w:snapToGrid w:val="0"/>
      </w:pPr>
      <w:r>
        <w:rPr>
          <w:rFonts w:ascii="微软雅黑" w:hAnsi="微软雅黑" w:eastAsia="微软雅黑"/>
          <w:b/>
        </w:rPr>
        <w:t xml:space="preserve">协作方式  </w:t>
      </w:r>
      <w:r>
        <w:rPr>
          <w:rFonts w:ascii="微软雅黑" w:hAnsi="微软雅黑" w:eastAsia="微软雅黑"/>
        </w:rPr>
        <w:t>用截图、包体名称和明确结论支持反馈；未通过的环节先修改再复核，避免把“已提交”误当作“已验收”。</w:t>
      </w:r>
    </w:p>
    <w:p>
      <w:pPr>
        <w:keepNext w:val="0"/>
        <w:snapToGrid w:val="0"/>
      </w:pPr>
      <w:r>
        <w:rPr>
          <w:rFonts w:ascii="微软雅黑" w:hAnsi="微软雅黑" w:eastAsia="微软雅黑"/>
        </w:rPr>
        <w:t>这套流程与前面的关卡设计、AI 需求约束共同构成我的策划工作方法：让创意能够被理解、被实现，并被检查。</w:t>
      </w:r>
    </w:p>
    <w:sectPr w:rsidR="00FC693F" w:rsidRPr="0006063C" w:rsidSect="00034616">
      <w:footerReference w:type="default" r:id="rId23"/>
      <w:pgSz w:w="11909" w:h="16834"/>
      <w:pgMar w:top="922" w:right="1008" w:bottom="835" w:left="1008" w:header="360" w:footer="36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777777"/>
        <w:sz w:val="16"/>
      </w:rPr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微软雅黑" w:hAnsi="微软雅黑" w:eastAsia="微软雅黑" w:cs="微软雅黑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80" w:lineRule="exact"/>
    </w:pPr>
    <w:rPr>
      <w:rFonts w:ascii="微软雅黑" w:hAnsi="微软雅黑" w:eastAsia="微软雅黑" w:cs="微软雅黑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120" w:line="264" w:lineRule="auto"/>
      <w:outlineLvl w:val="0"/>
    </w:pPr>
    <w:rPr>
      <w:rFonts w:ascii="微软雅黑" w:hAnsi="微软雅黑" w:eastAsia="微软雅黑" w:cs="微软雅黑"/>
      <w:b/>
      <w:bCs/>
      <w:color w:val="000000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/>
      <w:outlineLvl w:val="1"/>
    </w:pPr>
    <w:rPr>
      <w:rFonts w:ascii="微软雅黑" w:hAnsi="微软雅黑" w:eastAsia="微软雅黑" w:cs="微软雅黑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微软雅黑" w:hAnsi="微软雅黑" w:eastAsia="微软雅黑" w:cs="微软雅黑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微软雅黑" w:hAnsi="微软雅黑" w:eastAsia="微软雅黑" w:cs="微软雅黑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微软雅黑" w:hAnsi="微软雅黑" w:eastAsia="微软雅黑" w:cs="微软雅黑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微软雅黑" w:hAnsi="微软雅黑" w:eastAsia="微软雅黑" w:cs="微软雅黑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微软雅黑" w:hAnsi="微软雅黑" w:eastAsia="微软雅黑" w:cs="微软雅黑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微软雅黑" w:hAnsi="微软雅黑" w:eastAsia="微软雅黑" w:cs="微软雅黑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微软雅黑" w:hAnsi="微软雅黑" w:eastAsia="微软雅黑" w:cs="微软雅黑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微软雅黑" w:hAnsi="微软雅黑" w:eastAsia="微软雅黑" w:cs="微软雅黑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微软雅黑" w:hAnsi="微软雅黑" w:eastAsia="微软雅黑" w:cs="微软雅黑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微软雅黑" w:hAnsi="微软雅黑" w:eastAsia="微软雅黑" w:cs="微软雅黑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64" w:lineRule="auto"/>
      <w:contextualSpacing/>
    </w:pPr>
    <w:rPr>
      <w:rFonts w:ascii="微软雅黑" w:hAnsi="微软雅黑" w:eastAsia="微软雅黑" w:cs="微软雅黑"/>
      <w:color w:val="000000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微软雅黑" w:hAnsi="微软雅黑" w:eastAsia="微软雅黑" w:cs="微软雅黑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40"/>
    </w:pPr>
    <w:rPr>
      <w:rFonts w:ascii="微软雅黑" w:hAnsi="微软雅黑" w:eastAsia="微软雅黑" w:cs="微软雅黑"/>
      <w:i w:val="0"/>
      <w:iCs/>
      <w:color w:val="000000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微软雅黑" w:hAnsi="微软雅黑" w:eastAsia="微软雅黑" w:cs="微软雅黑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微软雅黑" w:hAnsi="微软雅黑" w:eastAsia="微软雅黑" w:cs="微软雅黑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微软雅黑" w:hAnsi="微软雅黑" w:eastAsia="微软雅黑" w:cs="微软雅黑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微软雅黑" w:hAnsi="微软雅黑" w:eastAsia="微软雅黑" w:cs="微软雅黑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微软雅黑" w:hAnsi="微软雅黑" w:eastAsia="微软雅黑" w:cs="微软雅黑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微软雅黑" w:hAnsi="微软雅黑" w:eastAsia="微软雅黑" w:cs="微软雅黑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微软雅黑" w:hAnsi="微软雅黑" w:eastAsia="微软雅黑" w:cs="微软雅黑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微软雅黑" w:hAnsi="微软雅黑" w:eastAsia="微软雅黑" w:cs="微软雅黑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微软雅黑" w:hAnsi="微软雅黑" w:eastAsia="微软雅黑" w:cs="微软雅黑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20" w:lineRule="exact" w:after="120"/>
    </w:pPr>
    <w:rPr>
      <w:rFonts w:ascii="微软雅黑" w:hAnsi="微软雅黑" w:eastAsia="微软雅黑" w:cs="微软雅黑"/>
      <w:b w:val="0"/>
      <w:bCs/>
      <w:color w:val="60666C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微软雅黑" w:hAnsi="微软雅黑" w:eastAsia="微软雅黑" w:cs="微软雅黑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微软雅黑" w:hAnsi="微软雅黑" w:eastAsia="微软雅黑" w:cs="微软雅黑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微软雅黑" w:hAnsi="微软雅黑" w:eastAsia="微软雅黑" w:cs="微软雅黑"/>
        <w:b/>
        <w:bCs/>
      </w:rPr>
    </w:tblStylePr>
    <w:tblStylePr w:type="lastCol">
      <w:rPr>
        <w:rFonts w:ascii="微软雅黑" w:hAnsi="微软雅黑" w:eastAsia="微软雅黑" w:cs="微软雅黑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微软雅黑" w:hAnsi="微软雅黑" w:eastAsia="微软雅黑" w:cs="微软雅黑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微软雅黑" w:hAnsi="微软雅黑" w:eastAsia="微软雅黑" w:cs="微软雅黑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微软雅黑" w:hAnsi="微软雅黑" w:eastAsia="微软雅黑" w:cs="微软雅黑"/>
        <w:b/>
        <w:bCs/>
      </w:rPr>
    </w:tblStylePr>
    <w:tblStylePr w:type="lastCol">
      <w:rPr>
        <w:rFonts w:ascii="微软雅黑" w:hAnsi="微软雅黑" w:eastAsia="微软雅黑" w:cs="微软雅黑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微软雅黑" w:hAnsi="微软雅黑" w:eastAsia="微软雅黑" w:cs="微软雅黑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微软雅黑" w:hAnsi="微软雅黑" w:eastAsia="微软雅黑" w:cs="微软雅黑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微软雅黑" w:hAnsi="微软雅黑" w:eastAsia="微软雅黑" w:cs="微软雅黑"/>
        <w:b/>
        <w:bCs/>
      </w:rPr>
    </w:tblStylePr>
    <w:tblStylePr w:type="lastCol">
      <w:rPr>
        <w:rFonts w:ascii="微软雅黑" w:hAnsi="微软雅黑" w:eastAsia="微软雅黑" w:cs="微软雅黑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微软雅黑" w:hAnsi="微软雅黑" w:eastAsia="微软雅黑" w:cs="微软雅黑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微软雅黑" w:hAnsi="微软雅黑" w:eastAsia="微软雅黑" w:cs="微软雅黑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微软雅黑" w:hAnsi="微软雅黑" w:eastAsia="微软雅黑" w:cs="微软雅黑"/>
        <w:b/>
        <w:bCs/>
      </w:rPr>
    </w:tblStylePr>
    <w:tblStylePr w:type="lastCol">
      <w:rPr>
        <w:rFonts w:ascii="微软雅黑" w:hAnsi="微软雅黑" w:eastAsia="微软雅黑" w:cs="微软雅黑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微软雅黑" w:hAnsi="微软雅黑" w:eastAsia="微软雅黑" w:cs="微软雅黑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微软雅黑" w:hAnsi="微软雅黑" w:eastAsia="微软雅黑" w:cs="微软雅黑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微软雅黑" w:hAnsi="微软雅黑" w:eastAsia="微软雅黑" w:cs="微软雅黑"/>
        <w:b/>
        <w:bCs/>
      </w:rPr>
    </w:tblStylePr>
    <w:tblStylePr w:type="lastCol">
      <w:rPr>
        <w:rFonts w:ascii="微软雅黑" w:hAnsi="微软雅黑" w:eastAsia="微软雅黑" w:cs="微软雅黑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微软雅黑" w:hAnsi="微软雅黑" w:eastAsia="微软雅黑" w:cs="微软雅黑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微软雅黑" w:hAnsi="微软雅黑" w:eastAsia="微软雅黑" w:cs="微软雅黑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微软雅黑" w:hAnsi="微软雅黑" w:eastAsia="微软雅黑" w:cs="微软雅黑"/>
        <w:b/>
        <w:bCs/>
      </w:rPr>
    </w:tblStylePr>
    <w:tblStylePr w:type="lastCol">
      <w:rPr>
        <w:rFonts w:ascii="微软雅黑" w:hAnsi="微软雅黑" w:eastAsia="微软雅黑" w:cs="微软雅黑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微软雅黑" w:hAnsi="微软雅黑" w:eastAsia="微软雅黑" w:cs="微软雅黑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微软雅黑" w:hAnsi="微软雅黑" w:eastAsia="微软雅黑" w:cs="微软雅黑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微软雅黑" w:hAnsi="微软雅黑" w:eastAsia="微软雅黑" w:cs="微软雅黑"/>
        <w:b/>
        <w:bCs/>
      </w:rPr>
    </w:tblStylePr>
    <w:tblStylePr w:type="lastCol">
      <w:rPr>
        <w:rFonts w:ascii="微软雅黑" w:hAnsi="微软雅黑" w:eastAsia="微软雅黑" w:cs="微软雅黑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微软雅黑" w:hAnsi="微软雅黑" w:eastAsia="微软雅黑" w:cs="微软雅黑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微软雅黑" w:hAnsi="微软雅黑" w:eastAsia="微软雅黑" w:cs="微软雅黑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微软雅黑" w:hAnsi="微软雅黑" w:eastAsia="微软雅黑" w:cs="微软雅黑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微软雅黑" w:hAnsi="微软雅黑" w:eastAsia="微软雅黑" w:cs="微软雅黑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微软雅黑" w:hAnsi="微软雅黑" w:eastAsia="微软雅黑" w:cs="微软雅黑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微软雅黑" w:hAnsi="微软雅黑" w:eastAsia="微软雅黑" w:cs="微软雅黑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微软雅黑" w:hAnsi="微软雅黑" w:eastAsia="微软雅黑" w:cs="微软雅黑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微软雅黑" w:hAnsi="微软雅黑" w:eastAsia="微软雅黑" w:cs="微软雅黑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微软雅黑" w:hAnsi="微软雅黑" w:eastAsia="微软雅黑" w:cs="微软雅黑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微软雅黑" w:hAnsi="微软雅黑" w:eastAsia="微软雅黑" w:cs="微软雅黑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微软雅黑" w:hAnsi="微软雅黑" w:eastAsia="微软雅黑" w:cs="微软雅黑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微软雅黑" w:hAnsi="微软雅黑" w:eastAsia="微软雅黑" w:cs="微软雅黑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微软雅黑" w:hAnsi="微软雅黑" w:eastAsia="微软雅黑" w:cs="微软雅黑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微软雅黑" w:hAnsi="微软雅黑" w:eastAsia="微软雅黑" w:cs="微软雅黑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微软雅黑" w:hAnsi="微软雅黑" w:eastAsia="微软雅黑" w:cs="微软雅黑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微软雅黑" w:hAnsi="微软雅黑" w:eastAsia="微软雅黑" w:cs="微软雅黑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微软雅黑" w:hAnsi="微软雅黑" w:eastAsia="微软雅黑" w:cs="微软雅黑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微软雅黑" w:hAnsi="微软雅黑" w:eastAsia="微软雅黑" w:cs="微软雅黑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微软雅黑" w:hAnsi="微软雅黑" w:eastAsia="微软雅黑" w:cs="微软雅黑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微软雅黑" w:hAnsi="微软雅黑" w:eastAsia="微软雅黑" w:cs="微软雅黑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微软雅黑" w:hAnsi="微软雅黑" w:eastAsia="微软雅黑" w:cs="微软雅黑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试玩广告策划作品集</dc:title>
  <dc:subject>试玩广告策划与制作协作</dc:subject>
  <dc:creator>丁华峰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